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Select List of Recommended Performance Measures</w:t>
      </w:r>
      <w:r w:rsidDel="00000000" w:rsidR="00000000" w:rsidRPr="00000000">
        <w:rPr>
          <w:rtl w:val="0"/>
        </w:rPr>
      </w:r>
    </w:p>
    <w:tbl>
      <w:tblPr>
        <w:tblStyle w:val="Table1"/>
        <w:tblW w:w="10170.0" w:type="dxa"/>
        <w:jc w:val="left"/>
        <w:tblInd w:w="-4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0"/>
        <w:gridCol w:w="1260"/>
        <w:gridCol w:w="858"/>
        <w:gridCol w:w="1080"/>
        <w:gridCol w:w="1482"/>
        <w:tblGridChange w:id="0">
          <w:tblGrid>
            <w:gridCol w:w="5490"/>
            <w:gridCol w:w="1260"/>
            <w:gridCol w:w="858"/>
            <w:gridCol w:w="1080"/>
            <w:gridCol w:w="148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2">
            <w:pPr>
              <w:spacing w:after="0" w:line="240" w:lineRule="auto"/>
              <w:rPr>
                <w:rFonts w:ascii="Arial" w:cs="Arial" w:eastAsia="Arial" w:hAnsi="Arial"/>
                <w:b w:val="0"/>
                <w:sz w:val="18"/>
                <w:szCs w:val="18"/>
                <w:vertAlign w:val="baseline"/>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03">
            <w:pPr>
              <w:spacing w:after="0" w:line="240" w:lineRule="auto"/>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Evaluation Criteria</w:t>
            </w: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7">
            <w:pPr>
              <w:spacing w:after="0" w:line="2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Performance Measure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8">
            <w:pPr>
              <w:spacing w:after="0" w:line="2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Weighting</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9">
            <w:pPr>
              <w:spacing w:after="0" w:line="2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Meets</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A">
            <w:pPr>
              <w:spacing w:after="0" w:line="2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Exceeds</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B">
            <w:pPr>
              <w:spacing w:after="0" w:line="2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Outstanding</w:t>
            </w: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00C">
            <w:pPr>
              <w:spacing w:after="0" w:line="2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Corporate</w:t>
            </w: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0D">
            <w:pPr>
              <w:spacing w:after="0" w:line="240" w:lineRule="auto"/>
              <w:rPr>
                <w:rFonts w:ascii="Arial" w:cs="Arial" w:eastAsia="Arial" w:hAnsi="Arial"/>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0E">
            <w:pPr>
              <w:spacing w:after="0" w:line="240" w:lineRule="auto"/>
              <w:rPr>
                <w:rFonts w:ascii="Arial" w:cs="Arial" w:eastAsia="Arial" w:hAnsi="Arial"/>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0F">
            <w:pPr>
              <w:spacing w:after="0" w:line="240" w:lineRule="auto"/>
              <w:rPr>
                <w:rFonts w:ascii="Arial" w:cs="Arial" w:eastAsia="Arial" w:hAnsi="Arial"/>
                <w:sz w:val="18"/>
                <w:szCs w:val="18"/>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10">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Revenue growth as compared to peer index</w:t>
            </w:r>
          </w:p>
        </w:tc>
        <w:tc>
          <w:tcPr>
            <w:vAlign w:val="top"/>
          </w:tcPr>
          <w:p w:rsidR="00000000" w:rsidDel="00000000" w:rsidP="00000000" w:rsidRDefault="00000000" w:rsidRPr="00000000" w14:paraId="00000012">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13">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14">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15">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Revenue growth over prior year</w:t>
            </w:r>
          </w:p>
        </w:tc>
        <w:tc>
          <w:tcPr>
            <w:vAlign w:val="top"/>
          </w:tcPr>
          <w:p w:rsidR="00000000" w:rsidDel="00000000" w:rsidP="00000000" w:rsidRDefault="00000000" w:rsidRPr="00000000" w14:paraId="00000017">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18">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19">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1A">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Same store revenue growth</w:t>
            </w:r>
          </w:p>
        </w:tc>
        <w:tc>
          <w:tcPr>
            <w:vAlign w:val="top"/>
          </w:tcPr>
          <w:p w:rsidR="00000000" w:rsidDel="00000000" w:rsidP="00000000" w:rsidRDefault="00000000" w:rsidRPr="00000000" w14:paraId="0000001C">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1D">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1E">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1F">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Debt to capitalized value</w:t>
            </w:r>
          </w:p>
        </w:tc>
        <w:tc>
          <w:tcPr>
            <w:vAlign w:val="top"/>
          </w:tcPr>
          <w:p w:rsidR="00000000" w:rsidDel="00000000" w:rsidP="00000000" w:rsidRDefault="00000000" w:rsidRPr="00000000" w14:paraId="00000021">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22">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23">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24">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Increase in overall portfolio value</w:t>
            </w:r>
          </w:p>
        </w:tc>
        <w:tc>
          <w:tcPr>
            <w:vAlign w:val="top"/>
          </w:tcPr>
          <w:p w:rsidR="00000000" w:rsidDel="00000000" w:rsidP="00000000" w:rsidRDefault="00000000" w:rsidRPr="00000000" w14:paraId="00000026">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27">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28">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29">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Shareholder return</w:t>
            </w:r>
          </w:p>
        </w:tc>
        <w:tc>
          <w:tcPr>
            <w:vAlign w:val="top"/>
          </w:tcPr>
          <w:p w:rsidR="00000000" w:rsidDel="00000000" w:rsidP="00000000" w:rsidRDefault="00000000" w:rsidRPr="00000000" w14:paraId="0000002B">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2C">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2D">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2E">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Net income</w:t>
            </w:r>
          </w:p>
        </w:tc>
        <w:tc>
          <w:tcPr>
            <w:vAlign w:val="top"/>
          </w:tcPr>
          <w:p w:rsidR="00000000" w:rsidDel="00000000" w:rsidP="00000000" w:rsidRDefault="00000000" w:rsidRPr="00000000" w14:paraId="00000030">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1">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2">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3">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Profitability</w:t>
            </w:r>
          </w:p>
        </w:tc>
        <w:tc>
          <w:tcPr>
            <w:vAlign w:val="top"/>
          </w:tcPr>
          <w:p w:rsidR="00000000" w:rsidDel="00000000" w:rsidP="00000000" w:rsidRDefault="00000000" w:rsidRPr="00000000" w14:paraId="00000035">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6">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7">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8">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Revenue/payroll ratio</w:t>
            </w:r>
          </w:p>
        </w:tc>
        <w:tc>
          <w:tcPr>
            <w:vAlign w:val="top"/>
          </w:tcPr>
          <w:p w:rsidR="00000000" w:rsidDel="00000000" w:rsidP="00000000" w:rsidRDefault="00000000" w:rsidRPr="00000000" w14:paraId="0000003A">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B">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C">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3D">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Overhead cost as compared to peer index</w:t>
            </w:r>
          </w:p>
        </w:tc>
        <w:tc>
          <w:tcPr>
            <w:vAlign w:val="top"/>
          </w:tcPr>
          <w:p w:rsidR="00000000" w:rsidDel="00000000" w:rsidP="00000000" w:rsidRDefault="00000000" w:rsidRPr="00000000" w14:paraId="0000003F">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0">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1">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2">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3">
            <w:pPr>
              <w:spacing w:after="0" w:line="240" w:lineRule="auto"/>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Function/Geographic</w:t>
            </w:r>
            <w:r w:rsidDel="00000000" w:rsidR="00000000" w:rsidRPr="00000000">
              <w:rPr>
                <w:rtl w:val="0"/>
              </w:rPr>
            </w:r>
          </w:p>
        </w:tc>
        <w:tc>
          <w:tcPr>
            <w:vAlign w:val="top"/>
          </w:tcPr>
          <w:p w:rsidR="00000000" w:rsidDel="00000000" w:rsidP="00000000" w:rsidRDefault="00000000" w:rsidRPr="00000000" w14:paraId="00000044">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5">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6">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7">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Employee turnover ratio</w:t>
            </w:r>
          </w:p>
        </w:tc>
        <w:tc>
          <w:tcPr>
            <w:vAlign w:val="top"/>
          </w:tcPr>
          <w:p w:rsidR="00000000" w:rsidDel="00000000" w:rsidP="00000000" w:rsidRDefault="00000000" w:rsidRPr="00000000" w14:paraId="00000049">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A">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B">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C">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Portfolio/regional tenant satisfaction scores</w:t>
            </w:r>
          </w:p>
        </w:tc>
        <w:tc>
          <w:tcPr>
            <w:vAlign w:val="top"/>
          </w:tcPr>
          <w:p w:rsidR="00000000" w:rsidDel="00000000" w:rsidP="00000000" w:rsidRDefault="00000000" w:rsidRPr="00000000" w14:paraId="0000004E">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F">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0">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1">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Employee opinion survey scores</w:t>
            </w:r>
          </w:p>
        </w:tc>
        <w:tc>
          <w:tcPr>
            <w:vAlign w:val="top"/>
          </w:tcPr>
          <w:p w:rsidR="00000000" w:rsidDel="00000000" w:rsidP="00000000" w:rsidRDefault="00000000" w:rsidRPr="00000000" w14:paraId="00000053">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4">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5">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6">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Achievement of leasing targets (rate, square feet, timing)</w:t>
            </w:r>
          </w:p>
        </w:tc>
        <w:tc>
          <w:tcPr>
            <w:vAlign w:val="top"/>
          </w:tcPr>
          <w:p w:rsidR="00000000" w:rsidDel="00000000" w:rsidP="00000000" w:rsidRDefault="00000000" w:rsidRPr="00000000" w14:paraId="00000058">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9">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A">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B">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Tenant retention ratio</w:t>
            </w:r>
          </w:p>
        </w:tc>
        <w:tc>
          <w:tcPr>
            <w:vAlign w:val="top"/>
          </w:tcPr>
          <w:p w:rsidR="00000000" w:rsidDel="00000000" w:rsidP="00000000" w:rsidRDefault="00000000" w:rsidRPr="00000000" w14:paraId="0000005D">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E">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5F">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60">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Occupancy level for portfolio/region</w:t>
            </w:r>
          </w:p>
        </w:tc>
        <w:tc>
          <w:tcPr>
            <w:vAlign w:val="top"/>
          </w:tcPr>
          <w:p w:rsidR="00000000" w:rsidDel="00000000" w:rsidP="00000000" w:rsidRDefault="00000000" w:rsidRPr="00000000" w14:paraId="00000062">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63">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64">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65">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Number or value of assets acquired</w:t>
            </w:r>
          </w:p>
        </w:tc>
        <w:tc>
          <w:tcPr>
            <w:vAlign w:val="top"/>
          </w:tcPr>
          <w:p w:rsidR="00000000" w:rsidDel="00000000" w:rsidP="00000000" w:rsidRDefault="00000000" w:rsidRPr="00000000" w14:paraId="00000067">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68">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69">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6A">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Return on assets acquired and/or developed</w:t>
            </w:r>
          </w:p>
        </w:tc>
        <w:tc>
          <w:tcPr>
            <w:vAlign w:val="top"/>
          </w:tcPr>
          <w:p w:rsidR="00000000" w:rsidDel="00000000" w:rsidP="00000000" w:rsidRDefault="00000000" w:rsidRPr="00000000" w14:paraId="0000006C">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6D">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6E">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6F">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Division or regional performance as compared to plan</w:t>
            </w:r>
          </w:p>
        </w:tc>
        <w:tc>
          <w:tcPr>
            <w:vAlign w:val="top"/>
          </w:tcPr>
          <w:p w:rsidR="00000000" w:rsidDel="00000000" w:rsidP="00000000" w:rsidRDefault="00000000" w:rsidRPr="00000000" w14:paraId="00000071">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2">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3">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4">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Revenue growth over prior year</w:t>
            </w:r>
          </w:p>
        </w:tc>
        <w:tc>
          <w:tcPr>
            <w:vAlign w:val="top"/>
          </w:tcPr>
          <w:p w:rsidR="00000000" w:rsidDel="00000000" w:rsidP="00000000" w:rsidRDefault="00000000" w:rsidRPr="00000000" w14:paraId="00000076">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7">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8">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9">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Net income growth over prior year</w:t>
            </w:r>
          </w:p>
        </w:tc>
        <w:tc>
          <w:tcPr>
            <w:vAlign w:val="top"/>
          </w:tcPr>
          <w:p w:rsidR="00000000" w:rsidDel="00000000" w:rsidP="00000000" w:rsidRDefault="00000000" w:rsidRPr="00000000" w14:paraId="0000007B">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C">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D">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7E">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Collections (delinquency level)</w:t>
            </w:r>
          </w:p>
        </w:tc>
        <w:tc>
          <w:tcPr>
            <w:vAlign w:val="top"/>
          </w:tcPr>
          <w:p w:rsidR="00000000" w:rsidDel="00000000" w:rsidP="00000000" w:rsidRDefault="00000000" w:rsidRPr="00000000" w14:paraId="00000080">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81">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82">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83">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Recovery goal achievement for portfolio/region</w:t>
            </w:r>
          </w:p>
        </w:tc>
        <w:tc>
          <w:tcPr>
            <w:vAlign w:val="top"/>
          </w:tcPr>
          <w:p w:rsidR="00000000" w:rsidDel="00000000" w:rsidP="00000000" w:rsidRDefault="00000000" w:rsidRPr="00000000" w14:paraId="00000085">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86">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87">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88">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Division net income level/ratio</w:t>
            </w:r>
          </w:p>
        </w:tc>
        <w:tc>
          <w:tcPr>
            <w:vAlign w:val="top"/>
          </w:tcPr>
          <w:p w:rsidR="00000000" w:rsidDel="00000000" w:rsidP="00000000" w:rsidRDefault="00000000" w:rsidRPr="00000000" w14:paraId="0000008A">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8B">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8C">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8D">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Aggregate value of financing closed</w:t>
            </w:r>
          </w:p>
        </w:tc>
        <w:tc>
          <w:tcPr>
            <w:vAlign w:val="top"/>
          </w:tcPr>
          <w:p w:rsidR="00000000" w:rsidDel="00000000" w:rsidP="00000000" w:rsidRDefault="00000000" w:rsidRPr="00000000" w14:paraId="0000008F">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90">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91">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92">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Timelines of reporting and compliance</w:t>
            </w:r>
          </w:p>
        </w:tc>
        <w:tc>
          <w:tcPr>
            <w:vAlign w:val="top"/>
          </w:tcPr>
          <w:p w:rsidR="00000000" w:rsidDel="00000000" w:rsidP="00000000" w:rsidRDefault="00000000" w:rsidRPr="00000000" w14:paraId="00000094">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95">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96">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97">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Increase in third-party management feels/income</w:t>
            </w:r>
          </w:p>
        </w:tc>
        <w:tc>
          <w:tcPr>
            <w:vAlign w:val="top"/>
          </w:tcPr>
          <w:p w:rsidR="00000000" w:rsidDel="00000000" w:rsidP="00000000" w:rsidRDefault="00000000" w:rsidRPr="00000000" w14:paraId="00000099">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9A">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9B">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9C">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Budget to actual operating results</w:t>
            </w:r>
          </w:p>
        </w:tc>
        <w:tc>
          <w:tcPr>
            <w:vAlign w:val="top"/>
          </w:tcPr>
          <w:p w:rsidR="00000000" w:rsidDel="00000000" w:rsidP="00000000" w:rsidRDefault="00000000" w:rsidRPr="00000000" w14:paraId="0000009E">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9F">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0">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1">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2">
            <w:pPr>
              <w:spacing w:after="0" w:line="240" w:lineRule="auto"/>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Individual</w:t>
            </w:r>
            <w:r w:rsidDel="00000000" w:rsidR="00000000" w:rsidRPr="00000000">
              <w:rPr>
                <w:rtl w:val="0"/>
              </w:rPr>
            </w:r>
          </w:p>
        </w:tc>
        <w:tc>
          <w:tcPr>
            <w:vAlign w:val="top"/>
          </w:tcPr>
          <w:p w:rsidR="00000000" w:rsidDel="00000000" w:rsidP="00000000" w:rsidRDefault="00000000" w:rsidRPr="00000000" w14:paraId="000000A3">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4">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5">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6">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Cost savings/reductions from approved budgets</w:t>
            </w:r>
          </w:p>
        </w:tc>
        <w:tc>
          <w:tcPr>
            <w:vAlign w:val="top"/>
          </w:tcPr>
          <w:p w:rsidR="00000000" w:rsidDel="00000000" w:rsidP="00000000" w:rsidRDefault="00000000" w:rsidRPr="00000000" w14:paraId="000000A8">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9">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A">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B">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Percent fee generation to cover overhead</w:t>
            </w:r>
          </w:p>
        </w:tc>
        <w:tc>
          <w:tcPr>
            <w:vAlign w:val="top"/>
          </w:tcPr>
          <w:p w:rsidR="00000000" w:rsidDel="00000000" w:rsidP="00000000" w:rsidRDefault="00000000" w:rsidRPr="00000000" w14:paraId="000000AD">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E">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AF">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B0">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Tenant satisfaction scores</w:t>
            </w:r>
          </w:p>
        </w:tc>
        <w:tc>
          <w:tcPr>
            <w:vAlign w:val="top"/>
          </w:tcPr>
          <w:p w:rsidR="00000000" w:rsidDel="00000000" w:rsidP="00000000" w:rsidRDefault="00000000" w:rsidRPr="00000000" w14:paraId="000000B2">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B3">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B4">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B5">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Occupancy level for a property or portfolio</w:t>
            </w:r>
          </w:p>
        </w:tc>
        <w:tc>
          <w:tcPr>
            <w:vAlign w:val="top"/>
          </w:tcPr>
          <w:p w:rsidR="00000000" w:rsidDel="00000000" w:rsidP="00000000" w:rsidRDefault="00000000" w:rsidRPr="00000000" w14:paraId="000000B7">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B8">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B9">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BA">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Tenant retention ratio for a property or portfolio</w:t>
            </w:r>
          </w:p>
        </w:tc>
        <w:tc>
          <w:tcPr>
            <w:vAlign w:val="top"/>
          </w:tcPr>
          <w:p w:rsidR="00000000" w:rsidDel="00000000" w:rsidP="00000000" w:rsidRDefault="00000000" w:rsidRPr="00000000" w14:paraId="000000BC">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BD">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BE">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BF">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Achievement of leasing (rate, square feet, timing)</w:t>
            </w:r>
          </w:p>
        </w:tc>
        <w:tc>
          <w:tcPr>
            <w:vAlign w:val="top"/>
          </w:tcPr>
          <w:p w:rsidR="00000000" w:rsidDel="00000000" w:rsidP="00000000" w:rsidRDefault="00000000" w:rsidRPr="00000000" w14:paraId="000000C1">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C2">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C3">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C4">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Number or value of asset(s) acquired</w:t>
            </w:r>
          </w:p>
        </w:tc>
        <w:tc>
          <w:tcPr>
            <w:vAlign w:val="top"/>
          </w:tcPr>
          <w:p w:rsidR="00000000" w:rsidDel="00000000" w:rsidP="00000000" w:rsidRDefault="00000000" w:rsidRPr="00000000" w14:paraId="000000C6">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C7">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C8">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C9">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Development of new anchor tenant relationship(s)</w:t>
            </w:r>
          </w:p>
        </w:tc>
        <w:tc>
          <w:tcPr>
            <w:vAlign w:val="top"/>
          </w:tcPr>
          <w:p w:rsidR="00000000" w:rsidDel="00000000" w:rsidP="00000000" w:rsidRDefault="00000000" w:rsidRPr="00000000" w14:paraId="000000CB">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CC">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CD">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CE">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Physical inspection results</w:t>
            </w:r>
          </w:p>
        </w:tc>
        <w:tc>
          <w:tcPr>
            <w:vAlign w:val="top"/>
          </w:tcPr>
          <w:p w:rsidR="00000000" w:rsidDel="00000000" w:rsidP="00000000" w:rsidRDefault="00000000" w:rsidRPr="00000000" w14:paraId="000000D0">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D1">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D2">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D3">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Professional certification</w:t>
            </w:r>
          </w:p>
        </w:tc>
        <w:tc>
          <w:tcPr>
            <w:vAlign w:val="top"/>
          </w:tcPr>
          <w:p w:rsidR="00000000" w:rsidDel="00000000" w:rsidP="00000000" w:rsidRDefault="00000000" w:rsidRPr="00000000" w14:paraId="000000D5">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D6">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D7">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D8">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Collections (delinquency level)</w:t>
            </w:r>
          </w:p>
        </w:tc>
        <w:tc>
          <w:tcPr>
            <w:vAlign w:val="top"/>
          </w:tcPr>
          <w:p w:rsidR="00000000" w:rsidDel="00000000" w:rsidP="00000000" w:rsidRDefault="00000000" w:rsidRPr="00000000" w14:paraId="000000DA">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DB">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DC">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DD">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Recovery goal achievement for a property or portfolio</w:t>
            </w:r>
          </w:p>
        </w:tc>
        <w:tc>
          <w:tcPr>
            <w:vAlign w:val="top"/>
          </w:tcPr>
          <w:p w:rsidR="00000000" w:rsidDel="00000000" w:rsidP="00000000" w:rsidRDefault="00000000" w:rsidRPr="00000000" w14:paraId="000000DF">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E0">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E1">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E2">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Tenant compliance level (insurance, sales reports)</w:t>
            </w:r>
          </w:p>
        </w:tc>
        <w:tc>
          <w:tcPr>
            <w:vAlign w:val="top"/>
          </w:tcPr>
          <w:p w:rsidR="00000000" w:rsidDel="00000000" w:rsidP="00000000" w:rsidRDefault="00000000" w:rsidRPr="00000000" w14:paraId="000000E4">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E5">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E6">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E7">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Hiring/filling vacant and/or new positions</w:t>
            </w:r>
          </w:p>
        </w:tc>
        <w:tc>
          <w:tcPr>
            <w:vAlign w:val="top"/>
          </w:tcPr>
          <w:p w:rsidR="00000000" w:rsidDel="00000000" w:rsidP="00000000" w:rsidRDefault="00000000" w:rsidRPr="00000000" w14:paraId="000000E9">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EA">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EB">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EC">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Participation in select committees</w:t>
            </w:r>
          </w:p>
        </w:tc>
        <w:tc>
          <w:tcPr>
            <w:vAlign w:val="top"/>
          </w:tcPr>
          <w:p w:rsidR="00000000" w:rsidDel="00000000" w:rsidP="00000000" w:rsidRDefault="00000000" w:rsidRPr="00000000" w14:paraId="000000EE">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EF">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F0">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F1">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Timeliness of reporting and compliance</w:t>
            </w:r>
          </w:p>
        </w:tc>
        <w:tc>
          <w:tcPr>
            <w:vAlign w:val="top"/>
          </w:tcPr>
          <w:p w:rsidR="00000000" w:rsidDel="00000000" w:rsidP="00000000" w:rsidRDefault="00000000" w:rsidRPr="00000000" w14:paraId="000000F3">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F4">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F5">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F6">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Mentorship</w:t>
            </w:r>
          </w:p>
        </w:tc>
        <w:tc>
          <w:tcPr>
            <w:vAlign w:val="top"/>
          </w:tcPr>
          <w:p w:rsidR="00000000" w:rsidDel="00000000" w:rsidP="00000000" w:rsidRDefault="00000000" w:rsidRPr="00000000" w14:paraId="000000F8">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F9">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FA">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FB">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F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Leadership in professional orgs. (e.g., SIOR, IREM, BOMA)</w:t>
            </w:r>
          </w:p>
        </w:tc>
        <w:tc>
          <w:tcPr>
            <w:vAlign w:val="top"/>
          </w:tcPr>
          <w:p w:rsidR="00000000" w:rsidDel="00000000" w:rsidP="00000000" w:rsidRDefault="00000000" w:rsidRPr="00000000" w14:paraId="000000FD">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FE">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FF">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00">
            <w:pPr>
              <w:spacing w:after="0" w:line="240" w:lineRule="auto"/>
              <w:rPr>
                <w:rFonts w:ascii="Arial" w:cs="Arial" w:eastAsia="Arial" w:hAnsi="Arial"/>
                <w:sz w:val="18"/>
                <w:szCs w:val="18"/>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Account management results</w:t>
            </w:r>
          </w:p>
        </w:tc>
        <w:tc>
          <w:tcPr>
            <w:vAlign w:val="top"/>
          </w:tcPr>
          <w:p w:rsidR="00000000" w:rsidDel="00000000" w:rsidP="00000000" w:rsidRDefault="00000000" w:rsidRPr="00000000" w14:paraId="00000102">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03">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04">
            <w:pPr>
              <w:spacing w:after="0" w:line="240" w:lineRule="auto"/>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105">
            <w:pPr>
              <w:spacing w:after="0" w:line="240" w:lineRule="auto"/>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10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KIQZspMnLH2ZJTjtzpCxqtqHrg==">AMUW2mUoF5WLd63mU5bvaF8gy/xhtlkv/DI4mJXbubM4sGEMabqyDNmNeqDBERI0yGOWlYd8KuHKqsKWFxdbY5FdP+SuFtEDhFaNA95aEJyiaavx4A25Auc=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2008-07-28T06:49:00Z</dcterms:created>
  <dc:creator>escott</dc:creator>
</cp:coreProperties>
</file>