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Stockroom Usage Control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b w:val="1"/>
          <w:smallCaps w:val="0"/>
          <w:sz w:val="16"/>
          <w:szCs w:val="16"/>
        </w:rPr>
      </w:pPr>
      <w:r w:rsidDel="00000000" w:rsidR="00000000" w:rsidRPr="00000000">
        <w:rPr>
          <w:rtl w:val="0"/>
        </w:rPr>
      </w:r>
    </w:p>
    <w:tbl>
      <w:tblPr>
        <w:tblStyle w:val="Table1"/>
        <w:tblW w:w="106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3"/>
        <w:gridCol w:w="3947"/>
        <w:gridCol w:w="1260"/>
        <w:gridCol w:w="1440"/>
        <w:gridCol w:w="2507.9999999999995"/>
        <w:tblGridChange w:id="0">
          <w:tblGrid>
            <w:gridCol w:w="1453"/>
            <w:gridCol w:w="3947"/>
            <w:gridCol w:w="1260"/>
            <w:gridCol w:w="1440"/>
            <w:gridCol w:w="250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Item and Part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Quantity</w:t>
            </w:r>
          </w:p>
        </w:tc>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Suite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Employee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200"/>
                <w:tab w:val="right" w:pos="10440"/>
              </w:tabs>
              <w:spacing w:after="30" w:before="30" w:lineRule="auto"/>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